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9A0D" w14:textId="77777777" w:rsidR="005E31BC" w:rsidRDefault="005E31BC" w:rsidP="005E31BC">
      <w:pPr>
        <w:pStyle w:val="BodyText"/>
        <w:tabs>
          <w:tab w:val="left" w:pos="5489"/>
        </w:tabs>
        <w:ind w:left="434"/>
        <w:rPr>
          <w:rFonts w:ascii="Times New Roman"/>
        </w:rPr>
      </w:pPr>
      <w:r w:rsidRPr="00BC49E0">
        <w:rPr>
          <w:noProof/>
        </w:rPr>
        <w:drawing>
          <wp:anchor distT="0" distB="0" distL="114300" distR="114300" simplePos="0" relativeHeight="251658241" behindDoc="0" locked="0" layoutInCell="1" allowOverlap="1" wp14:anchorId="69FA39E7" wp14:editId="3F8C300E">
            <wp:simplePos x="0" y="0"/>
            <wp:positionH relativeFrom="margin">
              <wp:posOffset>2895600</wp:posOffset>
            </wp:positionH>
            <wp:positionV relativeFrom="margin">
              <wp:posOffset>-171450</wp:posOffset>
            </wp:positionV>
            <wp:extent cx="2316480" cy="1489075"/>
            <wp:effectExtent l="0" t="0" r="7620" b="0"/>
            <wp:wrapSquare wrapText="bothSides"/>
            <wp:docPr id="739808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6480" cy="1489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58240" behindDoc="0" locked="0" layoutInCell="1" allowOverlap="1" wp14:anchorId="001C5A76" wp14:editId="4A43B058">
            <wp:simplePos x="0" y="0"/>
            <wp:positionH relativeFrom="margin">
              <wp:posOffset>457201</wp:posOffset>
            </wp:positionH>
            <wp:positionV relativeFrom="paragraph">
              <wp:posOffset>7620</wp:posOffset>
            </wp:positionV>
            <wp:extent cx="2293620" cy="888801"/>
            <wp:effectExtent l="0" t="0" r="0" b="698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3485" cy="892624"/>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rPr>
        <w:tab/>
      </w:r>
    </w:p>
    <w:p w14:paraId="7D828756" w14:textId="77777777" w:rsidR="005E31BC" w:rsidRDefault="005E31BC" w:rsidP="005E31BC"/>
    <w:p w14:paraId="138EEB4E" w14:textId="77777777" w:rsidR="005E31BC" w:rsidRDefault="005E31BC" w:rsidP="005E31BC"/>
    <w:p w14:paraId="6CE5B985" w14:textId="77777777" w:rsidR="005E31BC" w:rsidRDefault="005E31BC" w:rsidP="005E31BC"/>
    <w:p w14:paraId="440B0745" w14:textId="77777777" w:rsidR="005E31BC" w:rsidRDefault="005E31BC" w:rsidP="005E31BC"/>
    <w:p w14:paraId="7622C7E4" w14:textId="77777777" w:rsidR="005E31BC" w:rsidRDefault="005E31BC" w:rsidP="005E31BC"/>
    <w:p w14:paraId="2F5B7043" w14:textId="77777777" w:rsidR="005E31BC" w:rsidRDefault="005E31BC" w:rsidP="005E31BC"/>
    <w:p w14:paraId="61EE8CAF" w14:textId="77777777" w:rsidR="005E31BC" w:rsidRDefault="005E31BC" w:rsidP="005E31BC"/>
    <w:p w14:paraId="17980751" w14:textId="24EB7C05" w:rsidR="005E31BC" w:rsidRPr="00674545" w:rsidRDefault="00C90453" w:rsidP="005E31BC">
      <w:pPr>
        <w:pStyle w:val="NoSpacing"/>
        <w:jc w:val="both"/>
        <w:rPr>
          <w:rFonts w:asciiTheme="minorHAnsi" w:hAnsiTheme="minorHAnsi" w:cstheme="minorHAnsi"/>
          <w:sz w:val="24"/>
          <w:szCs w:val="24"/>
        </w:rPr>
      </w:pPr>
      <w:r>
        <w:rPr>
          <w:rFonts w:asciiTheme="minorHAnsi" w:hAnsiTheme="minorHAnsi" w:cstheme="minorHAnsi"/>
          <w:sz w:val="24"/>
          <w:szCs w:val="24"/>
        </w:rPr>
        <w:t xml:space="preserve">FOR IMMEDIATE RELEASE: </w:t>
      </w:r>
      <w:r w:rsidR="001C4C6D">
        <w:rPr>
          <w:rFonts w:asciiTheme="minorHAnsi" w:hAnsiTheme="minorHAnsi" w:cstheme="minorHAnsi"/>
          <w:sz w:val="24"/>
          <w:szCs w:val="24"/>
        </w:rPr>
        <w:t>June 12, 2025</w:t>
      </w:r>
    </w:p>
    <w:p w14:paraId="3E5D7DED" w14:textId="77777777" w:rsidR="005E31BC" w:rsidRPr="00674545" w:rsidRDefault="005E31BC" w:rsidP="005E31BC">
      <w:pPr>
        <w:pStyle w:val="NoSpacing"/>
        <w:jc w:val="right"/>
        <w:rPr>
          <w:rFonts w:asciiTheme="minorHAnsi" w:hAnsiTheme="minorHAnsi" w:cstheme="minorHAnsi"/>
          <w:sz w:val="24"/>
          <w:szCs w:val="24"/>
        </w:rPr>
      </w:pPr>
    </w:p>
    <w:p w14:paraId="23B4BC39" w14:textId="77777777" w:rsidR="005E31BC" w:rsidRPr="00674545" w:rsidRDefault="005E31BC" w:rsidP="005E31BC">
      <w:pPr>
        <w:jc w:val="center"/>
        <w:rPr>
          <w:rFonts w:cstheme="minorHAnsi"/>
          <w:b/>
        </w:rPr>
      </w:pPr>
      <w:r w:rsidRPr="00674545">
        <w:rPr>
          <w:rFonts w:cstheme="minorHAnsi"/>
          <w:b/>
        </w:rPr>
        <w:t xml:space="preserve">St. Tammany Economic Development Corporation Releases </w:t>
      </w:r>
      <w:r>
        <w:rPr>
          <w:rFonts w:cstheme="minorHAnsi"/>
          <w:b/>
        </w:rPr>
        <w:t>2025</w:t>
      </w:r>
      <w:r w:rsidRPr="00674545">
        <w:rPr>
          <w:rFonts w:cstheme="minorHAnsi"/>
          <w:b/>
        </w:rPr>
        <w:t xml:space="preserve"> </w:t>
      </w:r>
      <w:r>
        <w:rPr>
          <w:rFonts w:cstheme="minorHAnsi"/>
          <w:b/>
        </w:rPr>
        <w:t>First</w:t>
      </w:r>
      <w:r w:rsidRPr="00674545">
        <w:rPr>
          <w:rFonts w:cstheme="minorHAnsi"/>
          <w:b/>
        </w:rPr>
        <w:t xml:space="preserve"> Quarter Economic Trends in Latest Edition of </w:t>
      </w:r>
      <w:r w:rsidRPr="00674545">
        <w:rPr>
          <w:rFonts w:cstheme="minorHAnsi"/>
          <w:b/>
          <w:i/>
        </w:rPr>
        <w:t xml:space="preserve">The </w:t>
      </w:r>
      <w:proofErr w:type="spellStart"/>
      <w:r w:rsidRPr="00674545">
        <w:rPr>
          <w:rFonts w:cstheme="minorHAnsi"/>
          <w:b/>
          <w:i/>
        </w:rPr>
        <w:t>AnalyST</w:t>
      </w:r>
      <w:proofErr w:type="spellEnd"/>
    </w:p>
    <w:p w14:paraId="67A5A95A" w14:textId="77777777" w:rsidR="005E31BC" w:rsidRPr="00674545" w:rsidRDefault="005E31BC" w:rsidP="005E31BC">
      <w:pPr>
        <w:rPr>
          <w:rFonts w:cstheme="minorHAnsi"/>
          <w:i/>
          <w:iCs/>
        </w:rPr>
      </w:pPr>
    </w:p>
    <w:p w14:paraId="595EC8F2" w14:textId="77777777" w:rsidR="005E31BC" w:rsidRPr="002B25BC" w:rsidRDefault="005E31BC" w:rsidP="005E31BC">
      <w:pPr>
        <w:spacing w:before="240" w:after="240"/>
        <w:jc w:val="both"/>
        <w:rPr>
          <w:rFonts w:ascii="Libre Franklin" w:eastAsia="Calibri" w:hAnsi="Libre Franklin" w:cstheme="minorHAnsi"/>
          <w:sz w:val="20"/>
          <w:szCs w:val="20"/>
        </w:rPr>
      </w:pPr>
      <w:r w:rsidRPr="002B25BC">
        <w:rPr>
          <w:rFonts w:ascii="Libre Franklin" w:hAnsi="Libre Franklin" w:cstheme="minorHAnsi"/>
          <w:b/>
          <w:bCs/>
          <w:sz w:val="20"/>
          <w:szCs w:val="20"/>
        </w:rPr>
        <w:t>COVINGTON, LA</w:t>
      </w:r>
      <w:r w:rsidRPr="002B25BC">
        <w:rPr>
          <w:rFonts w:ascii="Libre Franklin" w:hAnsi="Libre Franklin" w:cstheme="minorHAnsi"/>
          <w:sz w:val="20"/>
          <w:szCs w:val="20"/>
        </w:rPr>
        <w:t xml:space="preserve"> –</w:t>
      </w:r>
      <w:r w:rsidRPr="002B25BC">
        <w:rPr>
          <w:rFonts w:ascii="Libre Franklin" w:eastAsia="Calibri" w:hAnsi="Libre Franklin" w:cstheme="minorHAnsi"/>
          <w:sz w:val="20"/>
          <w:szCs w:val="20"/>
        </w:rPr>
        <w:t xml:space="preserve"> St. Tammany Economic Development Corporation (St. Tammany EDC) has released the latest edition of their digital research publication, </w:t>
      </w:r>
      <w:r w:rsidRPr="00B56AF0">
        <w:rPr>
          <w:rFonts w:ascii="Libre Franklin" w:eastAsia="Calibri" w:hAnsi="Libre Franklin" w:cstheme="minorHAnsi"/>
          <w:b/>
          <w:bCs/>
          <w:i/>
          <w:iCs/>
          <w:sz w:val="20"/>
          <w:szCs w:val="20"/>
        </w:rPr>
        <w:t xml:space="preserve">The </w:t>
      </w:r>
      <w:proofErr w:type="spellStart"/>
      <w:r w:rsidRPr="00B56AF0">
        <w:rPr>
          <w:rFonts w:ascii="Libre Franklin" w:eastAsia="Calibri" w:hAnsi="Libre Franklin" w:cstheme="minorHAnsi"/>
          <w:b/>
          <w:bCs/>
          <w:i/>
          <w:iCs/>
          <w:sz w:val="20"/>
          <w:szCs w:val="20"/>
        </w:rPr>
        <w:t>AnalyST</w:t>
      </w:r>
      <w:proofErr w:type="spellEnd"/>
      <w:r w:rsidRPr="002B25BC">
        <w:rPr>
          <w:rFonts w:ascii="Libre Franklin" w:eastAsia="Calibri" w:hAnsi="Libre Franklin" w:cstheme="minorHAnsi"/>
          <w:i/>
          <w:iCs/>
          <w:sz w:val="20"/>
          <w:szCs w:val="20"/>
        </w:rPr>
        <w:t xml:space="preserve">. </w:t>
      </w:r>
      <w:proofErr w:type="gramStart"/>
      <w:r w:rsidRPr="002B25BC">
        <w:rPr>
          <w:rFonts w:ascii="Libre Franklin" w:eastAsia="Calibri" w:hAnsi="Libre Franklin" w:cstheme="minorHAnsi"/>
          <w:sz w:val="20"/>
          <w:szCs w:val="20"/>
        </w:rPr>
        <w:t>This economic trends</w:t>
      </w:r>
      <w:proofErr w:type="gramEnd"/>
      <w:r w:rsidRPr="002B25BC">
        <w:rPr>
          <w:rFonts w:ascii="Libre Franklin" w:eastAsia="Calibri" w:hAnsi="Libre Franklin" w:cstheme="minorHAnsi"/>
          <w:sz w:val="20"/>
          <w:szCs w:val="20"/>
        </w:rPr>
        <w:t xml:space="preserve"> report highlights important data-driven indicators that were seen across our local, state, and national economies during the </w:t>
      </w:r>
      <w:r>
        <w:rPr>
          <w:rFonts w:ascii="Libre Franklin" w:eastAsia="Calibri" w:hAnsi="Libre Franklin" w:cstheme="minorHAnsi"/>
          <w:sz w:val="20"/>
          <w:szCs w:val="20"/>
        </w:rPr>
        <w:t>first</w:t>
      </w:r>
      <w:r w:rsidRPr="002B25BC">
        <w:rPr>
          <w:rFonts w:ascii="Libre Franklin" w:eastAsia="Calibri" w:hAnsi="Libre Franklin" w:cstheme="minorHAnsi"/>
          <w:sz w:val="20"/>
          <w:szCs w:val="20"/>
        </w:rPr>
        <w:t xml:space="preserve"> quarter of </w:t>
      </w:r>
      <w:r>
        <w:rPr>
          <w:rFonts w:ascii="Libre Franklin" w:eastAsia="Calibri" w:hAnsi="Libre Franklin" w:cstheme="minorHAnsi"/>
          <w:sz w:val="20"/>
          <w:szCs w:val="20"/>
        </w:rPr>
        <w:t>2025</w:t>
      </w:r>
      <w:r w:rsidRPr="002B25BC">
        <w:rPr>
          <w:rFonts w:ascii="Libre Franklin" w:eastAsia="Calibri" w:hAnsi="Libre Franklin" w:cstheme="minorHAnsi"/>
          <w:sz w:val="20"/>
          <w:szCs w:val="20"/>
        </w:rPr>
        <w:t>.</w:t>
      </w:r>
      <w:r w:rsidRPr="002B25BC">
        <w:rPr>
          <w:rFonts w:ascii="Libre Franklin" w:hAnsi="Libre Franklin" w:cstheme="minorHAnsi"/>
          <w:sz w:val="20"/>
          <w:szCs w:val="20"/>
        </w:rPr>
        <w:t xml:space="preserve"> </w:t>
      </w:r>
      <w:r w:rsidRPr="002B25BC">
        <w:rPr>
          <w:rFonts w:ascii="Libre Franklin" w:eastAsia="Calibri" w:hAnsi="Libre Franklin" w:cstheme="minorHAnsi"/>
          <w:sz w:val="20"/>
          <w:szCs w:val="20"/>
        </w:rPr>
        <w:t xml:space="preserve">Although these economic landscapes continue to evolve, this quarterly report offers an opportunity to look back, underscoring the dynamic shifts that were influencing industries, employment trends, and financial markets. </w:t>
      </w:r>
    </w:p>
    <w:p w14:paraId="244FD14B" w14:textId="77777777" w:rsidR="005E31BC" w:rsidRPr="002B25BC" w:rsidRDefault="005E31BC" w:rsidP="005E31BC">
      <w:pPr>
        <w:spacing w:before="240" w:after="240"/>
        <w:jc w:val="both"/>
        <w:rPr>
          <w:rFonts w:ascii="Libre Franklin" w:eastAsia="Calibri" w:hAnsi="Libre Franklin" w:cstheme="minorHAnsi"/>
          <w:sz w:val="20"/>
          <w:szCs w:val="20"/>
        </w:rPr>
      </w:pPr>
      <w:r w:rsidRPr="002B25BC">
        <w:rPr>
          <w:rFonts w:ascii="Libre Franklin" w:eastAsia="Calibri" w:hAnsi="Libre Franklin" w:cstheme="minorHAnsi"/>
          <w:sz w:val="20"/>
          <w:szCs w:val="20"/>
        </w:rPr>
        <w:t xml:space="preserve">With key research insights from our economic advisors at </w:t>
      </w:r>
      <w:r w:rsidRPr="002B25BC">
        <w:rPr>
          <w:rFonts w:ascii="Libre Franklin" w:eastAsia="Calibri" w:hAnsi="Libre Franklin" w:cstheme="minorHAnsi"/>
          <w:i/>
          <w:iCs/>
          <w:sz w:val="20"/>
          <w:szCs w:val="20"/>
        </w:rPr>
        <w:t>Economic Leadership, LLC</w:t>
      </w:r>
      <w:r w:rsidRPr="002B25BC">
        <w:rPr>
          <w:rFonts w:ascii="Libre Franklin" w:eastAsia="Calibri" w:hAnsi="Libre Franklin" w:cstheme="minorHAnsi"/>
          <w:sz w:val="20"/>
          <w:szCs w:val="20"/>
        </w:rPr>
        <w:t xml:space="preserve">, a national economic development and strategic planning consultancy group, </w:t>
      </w:r>
      <w:r w:rsidRPr="002B25BC">
        <w:rPr>
          <w:rFonts w:ascii="Libre Franklin" w:eastAsia="Calibri" w:hAnsi="Libre Franklin" w:cstheme="minorHAnsi"/>
          <w:i/>
          <w:iCs/>
          <w:sz w:val="20"/>
          <w:szCs w:val="20"/>
        </w:rPr>
        <w:t xml:space="preserve">The </w:t>
      </w:r>
      <w:proofErr w:type="spellStart"/>
      <w:r w:rsidRPr="002B25BC">
        <w:rPr>
          <w:rFonts w:ascii="Libre Franklin" w:eastAsia="Calibri" w:hAnsi="Libre Franklin" w:cstheme="minorHAnsi"/>
          <w:i/>
          <w:iCs/>
          <w:sz w:val="20"/>
          <w:szCs w:val="20"/>
        </w:rPr>
        <w:t>AnalyST</w:t>
      </w:r>
      <w:proofErr w:type="spellEnd"/>
      <w:r w:rsidRPr="002B25BC">
        <w:rPr>
          <w:rFonts w:ascii="Libre Franklin" w:eastAsia="Calibri" w:hAnsi="Libre Franklin" w:cstheme="minorHAnsi"/>
          <w:sz w:val="20"/>
          <w:szCs w:val="20"/>
        </w:rPr>
        <w:t xml:space="preserve"> covers a range of topics including inflation, the labor market, housing trends, consumer spending, and other industry-specific information. </w:t>
      </w:r>
    </w:p>
    <w:p w14:paraId="251CFADF" w14:textId="77777777" w:rsidR="005E31BC" w:rsidRPr="002B25BC" w:rsidRDefault="005E31BC" w:rsidP="005E31BC">
      <w:pPr>
        <w:spacing w:before="240" w:after="240"/>
        <w:jc w:val="both"/>
        <w:rPr>
          <w:rFonts w:ascii="Libre Franklin" w:eastAsia="Calibri" w:hAnsi="Libre Franklin" w:cstheme="minorHAnsi"/>
          <w:sz w:val="20"/>
          <w:szCs w:val="20"/>
        </w:rPr>
      </w:pPr>
      <w:r w:rsidRPr="002B25BC">
        <w:rPr>
          <w:rFonts w:ascii="Libre Franklin" w:eastAsia="Calibri" w:hAnsi="Libre Franklin" w:cstheme="minorHAnsi"/>
          <w:b/>
          <w:sz w:val="20"/>
          <w:szCs w:val="20"/>
        </w:rPr>
        <w:t>Key Findings:</w:t>
      </w:r>
    </w:p>
    <w:p w14:paraId="63D10192" w14:textId="6E9501E6" w:rsidR="005E31BC" w:rsidRPr="008A7978" w:rsidRDefault="005E31BC" w:rsidP="005E31BC">
      <w:pPr>
        <w:pStyle w:val="ListParagraph"/>
        <w:numPr>
          <w:ilvl w:val="0"/>
          <w:numId w:val="1"/>
        </w:numPr>
        <w:spacing w:before="240" w:after="240"/>
        <w:jc w:val="both"/>
        <w:rPr>
          <w:rFonts w:ascii="Libre Franklin" w:eastAsia="Calibri" w:hAnsi="Libre Franklin" w:cstheme="minorHAnsi"/>
          <w:sz w:val="20"/>
          <w:szCs w:val="20"/>
        </w:rPr>
      </w:pPr>
      <w:r w:rsidRPr="002B25BC">
        <w:rPr>
          <w:rFonts w:ascii="Libre Franklin" w:eastAsia="Calibri" w:hAnsi="Libre Franklin" w:cstheme="minorHAnsi"/>
          <w:b/>
          <w:bCs/>
          <w:sz w:val="20"/>
          <w:szCs w:val="20"/>
        </w:rPr>
        <w:t>Labor Market Developments:</w:t>
      </w:r>
      <w:r w:rsidRPr="002B25BC">
        <w:rPr>
          <w:rFonts w:ascii="Libre Franklin" w:eastAsia="Calibri" w:hAnsi="Libre Franklin" w:cstheme="minorHAnsi"/>
          <w:sz w:val="20"/>
          <w:szCs w:val="20"/>
        </w:rPr>
        <w:t xml:space="preserve"> </w:t>
      </w:r>
      <w:r w:rsidRPr="00F835B1">
        <w:rPr>
          <w:rFonts w:ascii="Libre Franklin" w:eastAsia="Calibri" w:hAnsi="Libre Franklin" w:cstheme="minorHAnsi"/>
          <w:sz w:val="20"/>
          <w:szCs w:val="20"/>
        </w:rPr>
        <w:t>Unemployment in St. Tammany Parish rose slightly to around 4%, but it remains below metro, state, and national averages, indicating a tight labor market still within the natural unemployment rate of 3.5% to 4.5%.</w:t>
      </w:r>
      <w:r>
        <w:rPr>
          <w:rFonts w:ascii="Libre Franklin" w:eastAsia="Calibri" w:hAnsi="Libre Franklin" w:cstheme="minorHAnsi"/>
          <w:sz w:val="20"/>
          <w:szCs w:val="20"/>
        </w:rPr>
        <w:t xml:space="preserve"> </w:t>
      </w:r>
      <w:r w:rsidRPr="00F835B1">
        <w:rPr>
          <w:rFonts w:ascii="Libre Franklin" w:eastAsia="Calibri" w:hAnsi="Libre Franklin" w:cstheme="minorHAnsi"/>
          <w:sz w:val="20"/>
          <w:szCs w:val="20"/>
        </w:rPr>
        <w:t>Revised data from the Bureau of Labor Statistics shows the parish’s labor force is now 6,650 workers larger than in March 2020, although the labor force participation rate remains at 58.3%.</w:t>
      </w:r>
      <w:r>
        <w:rPr>
          <w:rFonts w:ascii="Libre Franklin" w:eastAsia="Calibri" w:hAnsi="Libre Franklin" w:cstheme="minorHAnsi"/>
          <w:sz w:val="20"/>
          <w:szCs w:val="20"/>
        </w:rPr>
        <w:t xml:space="preserve"> </w:t>
      </w:r>
      <w:r w:rsidRPr="00F835B1">
        <w:rPr>
          <w:rFonts w:ascii="Libre Franklin" w:eastAsia="Calibri" w:hAnsi="Libre Franklin" w:cstheme="minorHAnsi"/>
          <w:sz w:val="20"/>
          <w:szCs w:val="20"/>
        </w:rPr>
        <w:t>The employment-to-population ratio has improved for prime-age workers (ages 25–54), but remains low for younger and older age groups, with employment more prevalent among individuals holding a bachelor’s degree or higher.</w:t>
      </w:r>
    </w:p>
    <w:p w14:paraId="0E5877B1" w14:textId="77777777" w:rsidR="00B568FD" w:rsidRPr="00B568FD" w:rsidRDefault="00B568FD" w:rsidP="00B568FD">
      <w:pPr>
        <w:pStyle w:val="ListParagraph"/>
      </w:pPr>
    </w:p>
    <w:p w14:paraId="64361F98" w14:textId="5CC50B89" w:rsidR="005E31BC" w:rsidRPr="00B568FD" w:rsidRDefault="005E31BC" w:rsidP="00B568FD">
      <w:pPr>
        <w:pStyle w:val="ListParagraph"/>
        <w:numPr>
          <w:ilvl w:val="0"/>
          <w:numId w:val="1"/>
        </w:numPr>
        <w:jc w:val="both"/>
        <w:rPr>
          <w:rFonts w:ascii="Libre Franklin" w:hAnsi="Libre Franklin"/>
          <w:sz w:val="20"/>
          <w:szCs w:val="20"/>
        </w:rPr>
      </w:pPr>
      <w:r w:rsidRPr="00B568FD">
        <w:rPr>
          <w:rFonts w:ascii="Libre Franklin" w:hAnsi="Libre Franklin"/>
          <w:b/>
          <w:sz w:val="20"/>
          <w:szCs w:val="20"/>
        </w:rPr>
        <w:t>Business &amp; Industry:</w:t>
      </w:r>
      <w:r w:rsidRPr="00B568FD">
        <w:rPr>
          <w:rFonts w:ascii="Libre Franklin" w:hAnsi="Libre Franklin"/>
          <w:sz w:val="20"/>
          <w:szCs w:val="20"/>
        </w:rPr>
        <w:t xml:space="preserve"> There were 931 new business incorporation filings in Q1 2025 - a slight decline of 74 compared to the same quarter last year. Self-employment remains strong, accounting for 36% of all jobs, particularly in real estate, agriculture, finance, and professional services. The manufacturing sector experienced a decline in the Purchasing Managers’ Index (PMI) during early 2025 due to trade policy uncertainty, accompanied by a slight increase in manufacturing-related unemployment. In the services sector, the PMI held at 51.6%, signaling continued economic expansion, though a small and unusual rise in unemployment was observed between February and March.</w:t>
      </w:r>
    </w:p>
    <w:p w14:paraId="247FAD8C" w14:textId="77777777" w:rsidR="00B568FD" w:rsidRDefault="00B568FD" w:rsidP="00B568FD"/>
    <w:p w14:paraId="0B66F718" w14:textId="237A47F0" w:rsidR="005E31BC" w:rsidRPr="00B568FD" w:rsidRDefault="005E31BC" w:rsidP="00B568FD">
      <w:pPr>
        <w:pStyle w:val="ListParagraph"/>
        <w:numPr>
          <w:ilvl w:val="0"/>
          <w:numId w:val="1"/>
        </w:numPr>
        <w:jc w:val="both"/>
        <w:rPr>
          <w:rFonts w:ascii="Libre Franklin" w:eastAsia="Calibri" w:hAnsi="Libre Franklin" w:cstheme="minorHAnsi"/>
          <w:sz w:val="20"/>
          <w:szCs w:val="20"/>
        </w:rPr>
      </w:pPr>
      <w:r w:rsidRPr="00B568FD">
        <w:rPr>
          <w:rFonts w:ascii="Libre Franklin" w:eastAsia="Calibri" w:hAnsi="Libre Franklin" w:cstheme="minorHAnsi"/>
          <w:b/>
          <w:sz w:val="20"/>
          <w:szCs w:val="20"/>
        </w:rPr>
        <w:t>Inflation &amp; Wages:</w:t>
      </w:r>
      <w:r w:rsidRPr="00B568FD">
        <w:rPr>
          <w:rFonts w:ascii="Libre Franklin" w:eastAsia="Calibri" w:hAnsi="Libre Franklin" w:cstheme="minorHAnsi"/>
          <w:sz w:val="20"/>
          <w:szCs w:val="20"/>
        </w:rPr>
        <w:t xml:space="preserve"> Inflation in the Southern region reached the Federal Reserve’s 2% year-over-year target in March 2025, though elevated prices persist in housing, childcare, and dining, with tariffs </w:t>
      </w:r>
      <w:r w:rsidR="004B1B2F">
        <w:rPr>
          <w:rFonts w:ascii="Libre Franklin" w:eastAsia="Calibri" w:hAnsi="Libre Franklin" w:cstheme="minorHAnsi"/>
          <w:sz w:val="20"/>
          <w:szCs w:val="20"/>
        </w:rPr>
        <w:t>impacting</w:t>
      </w:r>
      <w:r w:rsidRPr="00B568FD">
        <w:rPr>
          <w:rFonts w:ascii="Libre Franklin" w:eastAsia="Calibri" w:hAnsi="Libre Franklin" w:cstheme="minorHAnsi"/>
          <w:sz w:val="20"/>
          <w:szCs w:val="20"/>
        </w:rPr>
        <w:t xml:space="preserve"> further price increases, especially for vehicles. Wage growth in the region has stabilized at a 3.3% annual rate, with average weekly earnings in St. Tammany </w:t>
      </w:r>
      <w:r w:rsidRPr="00B568FD">
        <w:rPr>
          <w:rFonts w:ascii="Libre Franklin" w:eastAsia="Calibri" w:hAnsi="Libre Franklin" w:cstheme="minorHAnsi"/>
          <w:sz w:val="20"/>
          <w:szCs w:val="20"/>
        </w:rPr>
        <w:lastRenderedPageBreak/>
        <w:t>Parish at $1,104; however, adjusted for cost of living, real wages are less compared to broader benchmarks.</w:t>
      </w:r>
    </w:p>
    <w:p w14:paraId="08220447" w14:textId="77777777" w:rsidR="005E31BC" w:rsidRPr="00AC0516" w:rsidRDefault="005E31BC" w:rsidP="005E31BC">
      <w:pPr>
        <w:pStyle w:val="ListParagraph"/>
        <w:spacing w:before="240" w:after="240"/>
        <w:jc w:val="both"/>
        <w:rPr>
          <w:rFonts w:ascii="Libre Franklin" w:eastAsia="Calibri" w:hAnsi="Libre Franklin" w:cstheme="minorHAnsi"/>
          <w:sz w:val="20"/>
          <w:szCs w:val="20"/>
        </w:rPr>
      </w:pPr>
    </w:p>
    <w:p w14:paraId="1C0ABFE2" w14:textId="77777777" w:rsidR="005E31BC" w:rsidRPr="00AC0516" w:rsidRDefault="005E31BC" w:rsidP="005E31BC">
      <w:pPr>
        <w:pStyle w:val="ListParagraph"/>
        <w:numPr>
          <w:ilvl w:val="0"/>
          <w:numId w:val="3"/>
        </w:numPr>
        <w:jc w:val="both"/>
        <w:rPr>
          <w:rFonts w:ascii="Libre Franklin" w:hAnsi="Libre Franklin"/>
          <w:sz w:val="20"/>
          <w:szCs w:val="20"/>
        </w:rPr>
      </w:pPr>
      <w:r w:rsidRPr="00AC0516">
        <w:rPr>
          <w:rFonts w:ascii="Libre Franklin" w:hAnsi="Libre Franklin"/>
          <w:b/>
          <w:sz w:val="20"/>
          <w:szCs w:val="20"/>
        </w:rPr>
        <w:t>Real Estate &amp; Construction:</w:t>
      </w:r>
      <w:r w:rsidRPr="00AC0516">
        <w:rPr>
          <w:rFonts w:ascii="Libre Franklin" w:hAnsi="Libre Franklin"/>
          <w:sz w:val="20"/>
          <w:szCs w:val="20"/>
        </w:rPr>
        <w:t xml:space="preserve"> In Q1 2025, 293 new housing units were permitted in St. Tammany Parish, a slight year-over-year decline of 8 units, with average unit value falling by approximately $14,000 and multifamily development remaining limited and below pre-pandemic levels. The residential market saw a 5.1% increase in home sales in April 2025 compared to the previous year, with a typical home value of $286,850—substantially more affordable than the national average—and values rising at a modest and sustainable annual rate of 0.8%.</w:t>
      </w:r>
    </w:p>
    <w:p w14:paraId="636FFB65" w14:textId="77777777" w:rsidR="005E31BC" w:rsidRDefault="005E31BC" w:rsidP="005E31BC">
      <w:pPr>
        <w:pStyle w:val="ListParagraph"/>
        <w:jc w:val="both"/>
      </w:pPr>
    </w:p>
    <w:p w14:paraId="5A0C37AB" w14:textId="77777777" w:rsidR="005E31BC" w:rsidRPr="00915957" w:rsidRDefault="005E31BC" w:rsidP="005E31BC">
      <w:pPr>
        <w:pStyle w:val="ListParagraph"/>
        <w:numPr>
          <w:ilvl w:val="0"/>
          <w:numId w:val="1"/>
        </w:numPr>
        <w:spacing w:before="240" w:after="240"/>
        <w:jc w:val="both"/>
        <w:rPr>
          <w:rFonts w:ascii="Libre Franklin" w:eastAsia="Calibri" w:hAnsi="Libre Franklin" w:cstheme="minorHAnsi"/>
          <w:bCs/>
          <w:sz w:val="20"/>
          <w:szCs w:val="20"/>
        </w:rPr>
      </w:pPr>
      <w:r>
        <w:rPr>
          <w:rFonts w:ascii="Libre Franklin" w:eastAsia="Calibri" w:hAnsi="Libre Franklin" w:cstheme="minorHAnsi"/>
          <w:b/>
          <w:sz w:val="20"/>
          <w:szCs w:val="20"/>
        </w:rPr>
        <w:t>Retail Sales &amp; Consumer Activity</w:t>
      </w:r>
      <w:r w:rsidRPr="002B25BC">
        <w:rPr>
          <w:rFonts w:ascii="Libre Franklin" w:eastAsia="Calibri" w:hAnsi="Libre Franklin" w:cstheme="minorHAnsi"/>
          <w:b/>
          <w:sz w:val="20"/>
          <w:szCs w:val="20"/>
        </w:rPr>
        <w:t>:</w:t>
      </w:r>
      <w:r>
        <w:rPr>
          <w:rFonts w:ascii="Libre Franklin" w:eastAsia="Calibri" w:hAnsi="Libre Franklin" w:cstheme="minorHAnsi"/>
          <w:b/>
          <w:sz w:val="20"/>
          <w:szCs w:val="20"/>
        </w:rPr>
        <w:t xml:space="preserve"> </w:t>
      </w:r>
      <w:r w:rsidRPr="00915957">
        <w:rPr>
          <w:rFonts w:ascii="Libre Franklin" w:eastAsia="Calibri" w:hAnsi="Libre Franklin" w:cstheme="minorHAnsi"/>
          <w:bCs/>
          <w:sz w:val="20"/>
          <w:szCs w:val="20"/>
        </w:rPr>
        <w:t>Retail sales tax collections reached $29.1 million in March 2025, a 6.9% increase from the previous year, and first-quarter collections were $6 million higher than Q1 2024, likely driven by the recent state sales tax increase from 4% to 5% and consumer purchases made ahead of anticipated tariffs.</w:t>
      </w:r>
    </w:p>
    <w:p w14:paraId="501B3CB5" w14:textId="541BD192" w:rsidR="00EC17BE" w:rsidRPr="00382DE5" w:rsidRDefault="00EC17BE" w:rsidP="005E31BC">
      <w:pPr>
        <w:tabs>
          <w:tab w:val="left" w:pos="5295"/>
        </w:tabs>
        <w:jc w:val="both"/>
        <w:rPr>
          <w:rFonts w:ascii="Libre Franklin" w:eastAsia="Times New Roman" w:hAnsi="Libre Franklin" w:cstheme="minorHAnsi"/>
          <w:sz w:val="20"/>
          <w:szCs w:val="20"/>
        </w:rPr>
      </w:pPr>
      <w:r w:rsidRPr="00382DE5">
        <w:rPr>
          <w:rFonts w:ascii="Libre Franklin" w:eastAsia="Times New Roman" w:hAnsi="Libre Franklin" w:cstheme="minorHAnsi"/>
          <w:sz w:val="20"/>
          <w:szCs w:val="20"/>
        </w:rPr>
        <w:t>“</w:t>
      </w:r>
      <w:r w:rsidR="006E76B5" w:rsidRPr="00382DE5">
        <w:rPr>
          <w:rFonts w:ascii="Libre Franklin" w:eastAsia="Times New Roman" w:hAnsi="Libre Franklin" w:cstheme="minorHAnsi"/>
          <w:sz w:val="20"/>
          <w:szCs w:val="20"/>
        </w:rPr>
        <w:t xml:space="preserve">As the economic development organization for St. Tammany Parish, it is </w:t>
      </w:r>
      <w:r w:rsidR="00FF29B6">
        <w:rPr>
          <w:rFonts w:ascii="Libre Franklin" w:eastAsia="Times New Roman" w:hAnsi="Libre Franklin" w:cstheme="minorHAnsi"/>
          <w:sz w:val="20"/>
          <w:szCs w:val="20"/>
        </w:rPr>
        <w:t>part of our responsibility</w:t>
      </w:r>
      <w:r w:rsidR="006E76B5" w:rsidRPr="00382DE5">
        <w:rPr>
          <w:rFonts w:ascii="Libre Franklin" w:eastAsia="Times New Roman" w:hAnsi="Libre Franklin" w:cstheme="minorHAnsi"/>
          <w:sz w:val="20"/>
          <w:szCs w:val="20"/>
        </w:rPr>
        <w:t xml:space="preserve"> to provide timely, data-driven insights that empower our business community and local leaders to make informed </w:t>
      </w:r>
      <w:r w:rsidR="0084584F" w:rsidRPr="00382DE5">
        <w:rPr>
          <w:rFonts w:ascii="Libre Franklin" w:eastAsia="Times New Roman" w:hAnsi="Libre Franklin" w:cstheme="minorHAnsi"/>
          <w:sz w:val="20"/>
          <w:szCs w:val="20"/>
        </w:rPr>
        <w:t>decisions,</w:t>
      </w:r>
      <w:r w:rsidR="00842419" w:rsidRPr="00382DE5">
        <w:rPr>
          <w:rFonts w:ascii="Libre Franklin" w:eastAsia="Times New Roman" w:hAnsi="Libre Franklin" w:cstheme="minorHAnsi"/>
          <w:sz w:val="20"/>
          <w:szCs w:val="20"/>
        </w:rPr>
        <w:t>”</w:t>
      </w:r>
      <w:r w:rsidR="006E76B5" w:rsidRPr="00382DE5">
        <w:rPr>
          <w:rFonts w:ascii="Libre Franklin" w:eastAsia="Times New Roman" w:hAnsi="Libre Franklin" w:cstheme="minorHAnsi"/>
          <w:sz w:val="20"/>
          <w:szCs w:val="20"/>
        </w:rPr>
        <w:t xml:space="preserve"> said </w:t>
      </w:r>
      <w:r w:rsidR="006E76B5" w:rsidRPr="00382DE5">
        <w:rPr>
          <w:rFonts w:ascii="Libre Franklin" w:eastAsia="Times New Roman" w:hAnsi="Libre Franklin" w:cstheme="minorHAnsi"/>
          <w:b/>
          <w:bCs/>
          <w:sz w:val="20"/>
          <w:szCs w:val="20"/>
        </w:rPr>
        <w:t>Chris Masingill, CEO of St. Tammany Economic Development Corporation</w:t>
      </w:r>
      <w:r w:rsidR="006E76B5" w:rsidRPr="00382DE5">
        <w:rPr>
          <w:rFonts w:ascii="Libre Franklin" w:eastAsia="Times New Roman" w:hAnsi="Libre Franklin" w:cstheme="minorHAnsi"/>
          <w:sz w:val="20"/>
          <w:szCs w:val="20"/>
        </w:rPr>
        <w:t>. “</w:t>
      </w:r>
      <w:r w:rsidRPr="00382DE5">
        <w:rPr>
          <w:rFonts w:ascii="Libre Franklin" w:eastAsia="Times New Roman" w:hAnsi="Libre Franklin" w:cstheme="minorHAnsi"/>
          <w:sz w:val="20"/>
          <w:szCs w:val="20"/>
        </w:rPr>
        <w:t xml:space="preserve">Through this quarterly report, St. Tammany </w:t>
      </w:r>
      <w:r w:rsidR="006E76B5" w:rsidRPr="00382DE5">
        <w:rPr>
          <w:rFonts w:ascii="Libre Franklin" w:eastAsia="Times New Roman" w:hAnsi="Libre Franklin" w:cstheme="minorHAnsi"/>
          <w:sz w:val="20"/>
          <w:szCs w:val="20"/>
        </w:rPr>
        <w:t xml:space="preserve">EDC </w:t>
      </w:r>
      <w:r w:rsidRPr="00382DE5">
        <w:rPr>
          <w:rFonts w:ascii="Libre Franklin" w:eastAsia="Times New Roman" w:hAnsi="Libre Franklin" w:cstheme="minorHAnsi"/>
          <w:sz w:val="20"/>
          <w:szCs w:val="20"/>
        </w:rPr>
        <w:t xml:space="preserve">delivers </w:t>
      </w:r>
      <w:r w:rsidR="00741BF5" w:rsidRPr="00382DE5">
        <w:rPr>
          <w:rFonts w:ascii="Libre Franklin" w:eastAsia="Times New Roman" w:hAnsi="Libre Franklin" w:cstheme="minorHAnsi"/>
          <w:sz w:val="20"/>
          <w:szCs w:val="20"/>
        </w:rPr>
        <w:t>critical economic</w:t>
      </w:r>
      <w:r w:rsidRPr="00382DE5">
        <w:rPr>
          <w:rFonts w:ascii="Libre Franklin" w:eastAsia="Times New Roman" w:hAnsi="Libre Franklin" w:cstheme="minorHAnsi"/>
          <w:sz w:val="20"/>
          <w:szCs w:val="20"/>
        </w:rPr>
        <w:t xml:space="preserve"> insights </w:t>
      </w:r>
      <w:r w:rsidR="00F67AB2" w:rsidRPr="00382DE5">
        <w:rPr>
          <w:rFonts w:ascii="Libre Franklin" w:eastAsia="Times New Roman" w:hAnsi="Libre Franklin" w:cstheme="minorHAnsi"/>
          <w:sz w:val="20"/>
          <w:szCs w:val="20"/>
        </w:rPr>
        <w:t>that help</w:t>
      </w:r>
      <w:r w:rsidR="00741BF5" w:rsidRPr="00382DE5">
        <w:rPr>
          <w:rFonts w:ascii="Libre Franklin" w:eastAsia="Times New Roman" w:hAnsi="Libre Franklin" w:cstheme="minorHAnsi"/>
          <w:sz w:val="20"/>
          <w:szCs w:val="20"/>
        </w:rPr>
        <w:t xml:space="preserve"> our strategic partners </w:t>
      </w:r>
      <w:r w:rsidRPr="00382DE5">
        <w:rPr>
          <w:rFonts w:ascii="Libre Franklin" w:eastAsia="Times New Roman" w:hAnsi="Libre Franklin" w:cstheme="minorHAnsi"/>
          <w:sz w:val="20"/>
          <w:szCs w:val="20"/>
        </w:rPr>
        <w:t>navigat</w:t>
      </w:r>
      <w:r w:rsidR="00741BF5" w:rsidRPr="00382DE5">
        <w:rPr>
          <w:rFonts w:ascii="Libre Franklin" w:eastAsia="Times New Roman" w:hAnsi="Libre Franklin" w:cstheme="minorHAnsi"/>
          <w:sz w:val="20"/>
          <w:szCs w:val="20"/>
        </w:rPr>
        <w:t>e</w:t>
      </w:r>
      <w:r w:rsidRPr="00382DE5">
        <w:rPr>
          <w:rFonts w:ascii="Libre Franklin" w:eastAsia="Times New Roman" w:hAnsi="Libre Franklin" w:cstheme="minorHAnsi"/>
          <w:sz w:val="20"/>
          <w:szCs w:val="20"/>
        </w:rPr>
        <w:t xml:space="preserve"> challenges and seiz</w:t>
      </w:r>
      <w:r w:rsidR="00741BF5" w:rsidRPr="00382DE5">
        <w:rPr>
          <w:rFonts w:ascii="Libre Franklin" w:eastAsia="Times New Roman" w:hAnsi="Libre Franklin" w:cstheme="minorHAnsi"/>
          <w:sz w:val="20"/>
          <w:szCs w:val="20"/>
        </w:rPr>
        <w:t>e</w:t>
      </w:r>
      <w:r w:rsidRPr="00382DE5">
        <w:rPr>
          <w:rFonts w:ascii="Libre Franklin" w:eastAsia="Times New Roman" w:hAnsi="Libre Franklin" w:cstheme="minorHAnsi"/>
          <w:sz w:val="20"/>
          <w:szCs w:val="20"/>
        </w:rPr>
        <w:t xml:space="preserve"> opportunities</w:t>
      </w:r>
      <w:r w:rsidR="00061C0E" w:rsidRPr="00382DE5">
        <w:rPr>
          <w:rFonts w:ascii="Libre Franklin" w:eastAsia="Times New Roman" w:hAnsi="Libre Franklin" w:cstheme="minorHAnsi"/>
          <w:sz w:val="20"/>
          <w:szCs w:val="20"/>
        </w:rPr>
        <w:t xml:space="preserve">, thus </w:t>
      </w:r>
      <w:r w:rsidR="00A1688F" w:rsidRPr="00382DE5">
        <w:rPr>
          <w:rFonts w:ascii="Libre Franklin" w:eastAsia="Times New Roman" w:hAnsi="Libre Franklin" w:cstheme="minorHAnsi"/>
          <w:sz w:val="20"/>
          <w:szCs w:val="20"/>
        </w:rPr>
        <w:t>reaffirm</w:t>
      </w:r>
      <w:r w:rsidR="00061C0E" w:rsidRPr="00382DE5">
        <w:rPr>
          <w:rFonts w:ascii="Libre Franklin" w:eastAsia="Times New Roman" w:hAnsi="Libre Franklin" w:cstheme="minorHAnsi"/>
          <w:sz w:val="20"/>
          <w:szCs w:val="20"/>
        </w:rPr>
        <w:t>ing</w:t>
      </w:r>
      <w:r w:rsidR="00A1688F" w:rsidRPr="00382DE5">
        <w:rPr>
          <w:rFonts w:ascii="Libre Franklin" w:eastAsia="Times New Roman" w:hAnsi="Libre Franklin" w:cstheme="minorHAnsi"/>
          <w:sz w:val="20"/>
          <w:szCs w:val="20"/>
        </w:rPr>
        <w:t xml:space="preserve"> our commitment to</w:t>
      </w:r>
      <w:r w:rsidR="00741BF5" w:rsidRPr="00382DE5">
        <w:rPr>
          <w:rFonts w:ascii="Libre Franklin" w:eastAsia="Times New Roman" w:hAnsi="Libre Franklin" w:cstheme="minorHAnsi"/>
          <w:sz w:val="20"/>
          <w:szCs w:val="20"/>
        </w:rPr>
        <w:t xml:space="preserve"> </w:t>
      </w:r>
      <w:r w:rsidR="00A1688F" w:rsidRPr="00382DE5">
        <w:rPr>
          <w:rFonts w:ascii="Libre Franklin" w:eastAsia="Times New Roman" w:hAnsi="Libre Franklin" w:cstheme="minorHAnsi"/>
          <w:sz w:val="20"/>
          <w:szCs w:val="20"/>
        </w:rPr>
        <w:t xml:space="preserve">shaping a resilient and prosperous future for our region.” </w:t>
      </w:r>
      <w:r w:rsidRPr="00382DE5">
        <w:rPr>
          <w:rFonts w:ascii="Libre Franklin" w:eastAsia="Times New Roman" w:hAnsi="Libre Franklin" w:cstheme="minorHAnsi"/>
          <w:sz w:val="20"/>
          <w:szCs w:val="20"/>
        </w:rPr>
        <w:t xml:space="preserve"> </w:t>
      </w:r>
    </w:p>
    <w:p w14:paraId="3A155B06" w14:textId="77777777" w:rsidR="008A0A67" w:rsidRDefault="008A0A67" w:rsidP="005E31BC">
      <w:pPr>
        <w:tabs>
          <w:tab w:val="left" w:pos="5295"/>
        </w:tabs>
        <w:jc w:val="both"/>
        <w:rPr>
          <w:rFonts w:ascii="Libre Franklin" w:eastAsia="Times New Roman" w:hAnsi="Libre Franklin" w:cstheme="minorHAnsi"/>
          <w:sz w:val="20"/>
          <w:szCs w:val="20"/>
          <w:highlight w:val="yellow"/>
        </w:rPr>
      </w:pPr>
    </w:p>
    <w:p w14:paraId="708D24F1" w14:textId="77777777" w:rsidR="005E31BC" w:rsidRPr="002B25BC" w:rsidRDefault="005E31BC" w:rsidP="005E31BC">
      <w:pPr>
        <w:jc w:val="both"/>
        <w:rPr>
          <w:rFonts w:ascii="Libre Franklin" w:hAnsi="Libre Franklin" w:cstheme="minorHAnsi"/>
          <w:sz w:val="20"/>
          <w:szCs w:val="20"/>
        </w:rPr>
      </w:pPr>
    </w:p>
    <w:p w14:paraId="71CF161A" w14:textId="77777777" w:rsidR="005E31BC" w:rsidRPr="002B25BC" w:rsidRDefault="005E31BC" w:rsidP="005E31BC">
      <w:pPr>
        <w:rPr>
          <w:rFonts w:ascii="Libre Franklin" w:hAnsi="Libre Franklin" w:cstheme="minorHAnsi"/>
          <w:sz w:val="20"/>
          <w:szCs w:val="20"/>
        </w:rPr>
      </w:pPr>
      <w:r w:rsidRPr="002B25BC">
        <w:rPr>
          <w:rFonts w:ascii="Libre Franklin" w:hAnsi="Libre Franklin" w:cstheme="minorHAnsi"/>
          <w:sz w:val="20"/>
          <w:szCs w:val="20"/>
        </w:rPr>
        <w:t xml:space="preserve">This edition of </w:t>
      </w:r>
      <w:r w:rsidRPr="00B56AF0">
        <w:rPr>
          <w:rFonts w:ascii="Libre Franklin" w:hAnsi="Libre Franklin" w:cstheme="minorHAnsi"/>
          <w:bCs/>
          <w:i/>
          <w:sz w:val="20"/>
          <w:szCs w:val="20"/>
        </w:rPr>
        <w:t xml:space="preserve">The </w:t>
      </w:r>
      <w:proofErr w:type="spellStart"/>
      <w:r w:rsidRPr="00B56AF0">
        <w:rPr>
          <w:rFonts w:ascii="Libre Franklin" w:hAnsi="Libre Franklin" w:cstheme="minorHAnsi"/>
          <w:bCs/>
          <w:i/>
          <w:sz w:val="20"/>
          <w:szCs w:val="20"/>
        </w:rPr>
        <w:t>AnalyST</w:t>
      </w:r>
      <w:proofErr w:type="spellEnd"/>
      <w:r w:rsidRPr="002B25BC">
        <w:rPr>
          <w:rFonts w:ascii="Libre Franklin" w:hAnsi="Libre Franklin" w:cstheme="minorHAnsi"/>
          <w:b/>
          <w:i/>
          <w:sz w:val="20"/>
          <w:szCs w:val="20"/>
        </w:rPr>
        <w:t xml:space="preserve"> </w:t>
      </w:r>
      <w:r w:rsidRPr="002B25BC">
        <w:rPr>
          <w:rFonts w:ascii="Libre Franklin" w:hAnsi="Libre Franklin" w:cstheme="minorHAnsi"/>
          <w:sz w:val="20"/>
          <w:szCs w:val="20"/>
        </w:rPr>
        <w:t xml:space="preserve">can be accessed on St. Tammany EDC’s website at </w:t>
      </w:r>
      <w:hyperlink r:id="rId12" w:history="1">
        <w:r w:rsidRPr="002B25BC">
          <w:rPr>
            <w:rStyle w:val="Hyperlink"/>
            <w:rFonts w:ascii="Libre Franklin" w:hAnsi="Libre Franklin" w:cstheme="minorHAnsi"/>
            <w:sz w:val="20"/>
            <w:szCs w:val="20"/>
          </w:rPr>
          <w:t>www.sttammanyedc.org/the-analyst</w:t>
        </w:r>
      </w:hyperlink>
      <w:r w:rsidRPr="002B25BC">
        <w:rPr>
          <w:rFonts w:ascii="Libre Franklin" w:hAnsi="Libre Franklin" w:cstheme="minorHAnsi"/>
          <w:sz w:val="20"/>
          <w:szCs w:val="20"/>
        </w:rPr>
        <w:t xml:space="preserve">. </w:t>
      </w:r>
    </w:p>
    <w:p w14:paraId="308FDAA8" w14:textId="77777777" w:rsidR="005E31BC" w:rsidRPr="002B25BC" w:rsidRDefault="005E31BC" w:rsidP="005E31BC">
      <w:pPr>
        <w:jc w:val="both"/>
        <w:rPr>
          <w:rFonts w:ascii="Libre Franklin" w:hAnsi="Libre Franklin" w:cstheme="minorHAnsi"/>
          <w:sz w:val="20"/>
          <w:szCs w:val="20"/>
        </w:rPr>
      </w:pPr>
    </w:p>
    <w:p w14:paraId="19C43893" w14:textId="77777777" w:rsidR="005E31BC" w:rsidRPr="002B25BC" w:rsidRDefault="005E31BC" w:rsidP="005E31BC">
      <w:pPr>
        <w:jc w:val="both"/>
        <w:rPr>
          <w:rFonts w:ascii="Libre Franklin" w:eastAsia="Times New Roman" w:hAnsi="Libre Franklin" w:cstheme="minorHAnsi"/>
          <w:sz w:val="20"/>
          <w:szCs w:val="20"/>
        </w:rPr>
      </w:pPr>
    </w:p>
    <w:p w14:paraId="17BB1534" w14:textId="77777777" w:rsidR="005E31BC" w:rsidRPr="002B25BC" w:rsidRDefault="005E31BC" w:rsidP="005E31BC">
      <w:pPr>
        <w:jc w:val="center"/>
        <w:rPr>
          <w:rFonts w:ascii="Libre Franklin" w:hAnsi="Libre Franklin" w:cstheme="minorHAnsi"/>
          <w:sz w:val="20"/>
          <w:szCs w:val="20"/>
        </w:rPr>
      </w:pPr>
      <w:r w:rsidRPr="002B25BC">
        <w:rPr>
          <w:rFonts w:ascii="Libre Franklin" w:hAnsi="Libre Franklin" w:cstheme="minorHAnsi"/>
          <w:sz w:val="20"/>
          <w:szCs w:val="20"/>
        </w:rPr>
        <w:t>###</w:t>
      </w:r>
    </w:p>
    <w:p w14:paraId="7F292F66" w14:textId="77777777" w:rsidR="005E31BC" w:rsidRPr="002B25BC" w:rsidRDefault="005E31BC" w:rsidP="005E31BC">
      <w:pPr>
        <w:jc w:val="both"/>
        <w:rPr>
          <w:rFonts w:ascii="Libre Franklin" w:hAnsi="Libre Franklin" w:cstheme="minorHAnsi"/>
          <w:sz w:val="20"/>
          <w:szCs w:val="20"/>
        </w:rPr>
      </w:pPr>
    </w:p>
    <w:p w14:paraId="6A0C4F24" w14:textId="77777777" w:rsidR="005E31BC" w:rsidRPr="002B25BC" w:rsidRDefault="005E31BC" w:rsidP="005E31BC">
      <w:pPr>
        <w:jc w:val="both"/>
        <w:rPr>
          <w:rFonts w:ascii="Libre Franklin" w:hAnsi="Libre Franklin"/>
          <w:sz w:val="20"/>
          <w:szCs w:val="20"/>
        </w:rPr>
      </w:pPr>
      <w:bookmarkStart w:id="0" w:name="_Hlk197679130"/>
      <w:r w:rsidRPr="002B25BC">
        <w:rPr>
          <w:rFonts w:ascii="Libre Franklin" w:hAnsi="Libre Franklin"/>
          <w:b/>
          <w:bCs/>
          <w:i/>
          <w:iCs/>
          <w:sz w:val="20"/>
          <w:szCs w:val="20"/>
        </w:rPr>
        <w:t>About St. Tammany Economic Development Corporation:</w:t>
      </w:r>
      <w:r w:rsidRPr="002B25BC">
        <w:rPr>
          <w:rFonts w:ascii="Libre Franklin" w:hAnsi="Libre Franklin"/>
          <w:sz w:val="20"/>
          <w:szCs w:val="20"/>
        </w:rPr>
        <w:t xml:space="preserve"> As the economic development organization for St. Tammany, St. Tammany Economic Development Corporation (St. Tammany EDC) serves as the comprehensive resource center for business services throughout the parish. St. Tammany EDC’s services include business retention, site selection, workforce development, research and data services, state and local incentives, business attraction, talent retention, certified site development, relocation support, and marketing St. Tammany. Since the organization’s launch in 2018, St. Tammany EDC facilitated business expansion and attraction announcements representing over $291.9 million in capital investment and 2,299 new and retained jobs in St. Tammany Parish. For more information about St. Tammany EDC, please visit </w:t>
      </w:r>
      <w:hyperlink r:id="rId13" w:history="1">
        <w:r w:rsidRPr="002B25BC">
          <w:rPr>
            <w:rStyle w:val="Hyperlink"/>
            <w:rFonts w:ascii="Libre Franklin" w:hAnsi="Libre Franklin"/>
            <w:sz w:val="20"/>
            <w:szCs w:val="20"/>
          </w:rPr>
          <w:t>stttammanyedc.org</w:t>
        </w:r>
      </w:hyperlink>
      <w:r w:rsidRPr="002B25BC">
        <w:rPr>
          <w:rFonts w:ascii="Libre Franklin" w:hAnsi="Libre Franklin"/>
          <w:sz w:val="20"/>
          <w:szCs w:val="20"/>
        </w:rPr>
        <w:t>. </w:t>
      </w:r>
    </w:p>
    <w:bookmarkEnd w:id="0"/>
    <w:p w14:paraId="75451847" w14:textId="77777777" w:rsidR="005E31BC" w:rsidRDefault="005E31BC" w:rsidP="005E31BC">
      <w:pPr>
        <w:jc w:val="both"/>
      </w:pPr>
    </w:p>
    <w:p w14:paraId="76C153D3" w14:textId="77777777" w:rsidR="005E31BC" w:rsidRPr="00972101" w:rsidRDefault="005E31BC" w:rsidP="005E31BC">
      <w:pPr>
        <w:jc w:val="both"/>
        <w:rPr>
          <w:rFonts w:ascii="Libre Franklin" w:hAnsi="Libre Franklin"/>
          <w:b/>
          <w:bCs/>
          <w:sz w:val="22"/>
          <w:szCs w:val="22"/>
        </w:rPr>
      </w:pPr>
      <w:r>
        <w:rPr>
          <w:rFonts w:ascii="Libre Franklin" w:hAnsi="Libre Franklin"/>
          <w:b/>
          <w:bCs/>
          <w:sz w:val="22"/>
          <w:szCs w:val="22"/>
        </w:rPr>
        <w:t xml:space="preserve">Media </w:t>
      </w:r>
      <w:r w:rsidRPr="00972101">
        <w:rPr>
          <w:rFonts w:ascii="Libre Franklin" w:hAnsi="Libre Franklin"/>
          <w:b/>
          <w:bCs/>
          <w:sz w:val="22"/>
          <w:szCs w:val="22"/>
        </w:rPr>
        <w:t>Contact</w:t>
      </w:r>
    </w:p>
    <w:p w14:paraId="71B9C58D" w14:textId="77777777" w:rsidR="005E31BC" w:rsidRDefault="005E31BC" w:rsidP="005E31BC">
      <w:pPr>
        <w:pStyle w:val="NoSpacing"/>
        <w:widowControl/>
        <w:numPr>
          <w:ilvl w:val="0"/>
          <w:numId w:val="2"/>
        </w:numPr>
        <w:autoSpaceDE/>
        <w:autoSpaceDN/>
        <w:adjustRightInd/>
        <w:rPr>
          <w:rFonts w:ascii="Libre Franklin" w:hAnsi="Libre Franklin"/>
          <w:sz w:val="20"/>
          <w:szCs w:val="20"/>
        </w:rPr>
      </w:pPr>
      <w:r w:rsidRPr="00F12839">
        <w:rPr>
          <w:rFonts w:ascii="Libre Franklin" w:hAnsi="Libre Franklin"/>
          <w:sz w:val="20"/>
          <w:szCs w:val="20"/>
        </w:rPr>
        <w:t>Kristin Durand, Director of</w:t>
      </w:r>
      <w:r>
        <w:rPr>
          <w:rFonts w:ascii="Libre Franklin" w:hAnsi="Libre Franklin"/>
          <w:sz w:val="20"/>
          <w:szCs w:val="20"/>
        </w:rPr>
        <w:t xml:space="preserve"> Communications</w:t>
      </w:r>
    </w:p>
    <w:p w14:paraId="7EDCB4D2" w14:textId="77777777" w:rsidR="005E31BC" w:rsidRDefault="005E31BC" w:rsidP="005E31BC">
      <w:pPr>
        <w:pStyle w:val="NoSpacing"/>
        <w:widowControl/>
        <w:numPr>
          <w:ilvl w:val="0"/>
          <w:numId w:val="2"/>
        </w:numPr>
        <w:autoSpaceDE/>
        <w:autoSpaceDN/>
        <w:adjustRightInd/>
        <w:rPr>
          <w:rFonts w:ascii="Libre Franklin" w:hAnsi="Libre Franklin"/>
          <w:sz w:val="20"/>
          <w:szCs w:val="20"/>
        </w:rPr>
      </w:pPr>
      <w:hyperlink r:id="rId14" w:history="1">
        <w:r w:rsidRPr="00F12839">
          <w:rPr>
            <w:rStyle w:val="Hyperlink"/>
            <w:rFonts w:ascii="Libre Franklin" w:hAnsi="Libre Franklin"/>
            <w:sz w:val="20"/>
            <w:szCs w:val="20"/>
          </w:rPr>
          <w:t>kdurand@sttammanyedc.org</w:t>
        </w:r>
      </w:hyperlink>
    </w:p>
    <w:p w14:paraId="7411CD34" w14:textId="77777777" w:rsidR="005E31BC" w:rsidRPr="00F12839" w:rsidRDefault="005E31BC" w:rsidP="005E31BC">
      <w:pPr>
        <w:pStyle w:val="NoSpacing"/>
        <w:widowControl/>
        <w:numPr>
          <w:ilvl w:val="0"/>
          <w:numId w:val="2"/>
        </w:numPr>
        <w:autoSpaceDE/>
        <w:autoSpaceDN/>
        <w:adjustRightInd/>
        <w:rPr>
          <w:rFonts w:ascii="Libre Franklin" w:hAnsi="Libre Franklin"/>
          <w:sz w:val="20"/>
          <w:szCs w:val="20"/>
        </w:rPr>
      </w:pPr>
      <w:r w:rsidRPr="00F12839">
        <w:rPr>
          <w:rFonts w:ascii="Libre Franklin" w:hAnsi="Libre Franklin"/>
          <w:sz w:val="20"/>
          <w:szCs w:val="20"/>
        </w:rPr>
        <w:t>985.809.7874</w:t>
      </w:r>
    </w:p>
    <w:p w14:paraId="2BAEB6BD" w14:textId="77777777" w:rsidR="00152B15" w:rsidRDefault="00152B15"/>
    <w:sectPr w:rsidR="00152B1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55A7" w14:textId="77777777" w:rsidR="00B67360" w:rsidRDefault="00B67360" w:rsidP="00B56AF0">
      <w:r>
        <w:separator/>
      </w:r>
    </w:p>
  </w:endnote>
  <w:endnote w:type="continuationSeparator" w:id="0">
    <w:p w14:paraId="577FB29F" w14:textId="77777777" w:rsidR="00B67360" w:rsidRDefault="00B67360" w:rsidP="00B5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Z@RAA3C.tmp">
    <w:altName w:val="Calibri"/>
    <w:panose1 w:val="00000600000000000000"/>
    <w:charset w:val="00"/>
    <w:family w:val="auto"/>
    <w:pitch w:val="variable"/>
    <w:sig w:usb0="20000007" w:usb1="00000000" w:usb2="00000000" w:usb3="00000000" w:csb0="00000193" w:csb1="00000000"/>
  </w:font>
  <w:font w:name="Libre Franklin">
    <w:panose1 w:val="00000000000000000000"/>
    <w:charset w:val="00"/>
    <w:family w:val="auto"/>
    <w:pitch w:val="variable"/>
    <w:sig w:usb0="A00002FF" w:usb1="4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6CF3" w14:textId="77777777" w:rsidR="00B56AF0" w:rsidRDefault="00B5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B37E" w14:textId="77777777" w:rsidR="00B56AF0" w:rsidRDefault="00B56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080A" w14:textId="77777777" w:rsidR="00B56AF0" w:rsidRDefault="00B5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0168" w14:textId="77777777" w:rsidR="00B67360" w:rsidRDefault="00B67360" w:rsidP="00B56AF0">
      <w:r>
        <w:separator/>
      </w:r>
    </w:p>
  </w:footnote>
  <w:footnote w:type="continuationSeparator" w:id="0">
    <w:p w14:paraId="42518253" w14:textId="77777777" w:rsidR="00B67360" w:rsidRDefault="00B67360" w:rsidP="00B56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E258" w14:textId="77777777" w:rsidR="00B56AF0" w:rsidRDefault="00B5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E0DD" w14:textId="315AD9DE" w:rsidR="00B56AF0" w:rsidRDefault="00B56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571" w14:textId="77777777" w:rsidR="00B56AF0" w:rsidRDefault="00B5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3C15"/>
    <w:multiLevelType w:val="hybridMultilevel"/>
    <w:tmpl w:val="6AAC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96874"/>
    <w:multiLevelType w:val="hybridMultilevel"/>
    <w:tmpl w:val="80547AD0"/>
    <w:lvl w:ilvl="0" w:tplc="7804CC60">
      <w:start w:val="1"/>
      <w:numFmt w:val="bullet"/>
      <w:lvlText w:val=""/>
      <w:lvlJc w:val="left"/>
      <w:pPr>
        <w:ind w:left="720" w:hanging="360"/>
      </w:pPr>
      <w:rPr>
        <w:rFonts w:ascii="Symbol" w:hAnsi="Symbol" w:hint="default"/>
      </w:rPr>
    </w:lvl>
    <w:lvl w:ilvl="1" w:tplc="2C340D32">
      <w:start w:val="1"/>
      <w:numFmt w:val="bullet"/>
      <w:lvlText w:val="o"/>
      <w:lvlJc w:val="left"/>
      <w:pPr>
        <w:ind w:left="1440" w:hanging="360"/>
      </w:pPr>
      <w:rPr>
        <w:rFonts w:ascii="Courier New" w:hAnsi="Courier New" w:hint="default"/>
      </w:rPr>
    </w:lvl>
    <w:lvl w:ilvl="2" w:tplc="A3A4347C">
      <w:start w:val="1"/>
      <w:numFmt w:val="bullet"/>
      <w:lvlText w:val=""/>
      <w:lvlJc w:val="left"/>
      <w:pPr>
        <w:ind w:left="2160" w:hanging="360"/>
      </w:pPr>
      <w:rPr>
        <w:rFonts w:ascii="Wingdings" w:hAnsi="Wingdings" w:hint="default"/>
      </w:rPr>
    </w:lvl>
    <w:lvl w:ilvl="3" w:tplc="06FE8C4A">
      <w:start w:val="1"/>
      <w:numFmt w:val="bullet"/>
      <w:lvlText w:val=""/>
      <w:lvlJc w:val="left"/>
      <w:pPr>
        <w:ind w:left="2880" w:hanging="360"/>
      </w:pPr>
      <w:rPr>
        <w:rFonts w:ascii="Symbol" w:hAnsi="Symbol" w:hint="default"/>
      </w:rPr>
    </w:lvl>
    <w:lvl w:ilvl="4" w:tplc="9132D418">
      <w:start w:val="1"/>
      <w:numFmt w:val="bullet"/>
      <w:lvlText w:val="o"/>
      <w:lvlJc w:val="left"/>
      <w:pPr>
        <w:ind w:left="3600" w:hanging="360"/>
      </w:pPr>
      <w:rPr>
        <w:rFonts w:ascii="Courier New" w:hAnsi="Courier New" w:hint="default"/>
      </w:rPr>
    </w:lvl>
    <w:lvl w:ilvl="5" w:tplc="2774D8B4">
      <w:start w:val="1"/>
      <w:numFmt w:val="bullet"/>
      <w:lvlText w:val=""/>
      <w:lvlJc w:val="left"/>
      <w:pPr>
        <w:ind w:left="4320" w:hanging="360"/>
      </w:pPr>
      <w:rPr>
        <w:rFonts w:ascii="Wingdings" w:hAnsi="Wingdings" w:hint="default"/>
      </w:rPr>
    </w:lvl>
    <w:lvl w:ilvl="6" w:tplc="0B0E5318">
      <w:start w:val="1"/>
      <w:numFmt w:val="bullet"/>
      <w:lvlText w:val=""/>
      <w:lvlJc w:val="left"/>
      <w:pPr>
        <w:ind w:left="5040" w:hanging="360"/>
      </w:pPr>
      <w:rPr>
        <w:rFonts w:ascii="Symbol" w:hAnsi="Symbol" w:hint="default"/>
      </w:rPr>
    </w:lvl>
    <w:lvl w:ilvl="7" w:tplc="45E48F94">
      <w:start w:val="1"/>
      <w:numFmt w:val="bullet"/>
      <w:lvlText w:val="o"/>
      <w:lvlJc w:val="left"/>
      <w:pPr>
        <w:ind w:left="5760" w:hanging="360"/>
      </w:pPr>
      <w:rPr>
        <w:rFonts w:ascii="Courier New" w:hAnsi="Courier New" w:hint="default"/>
      </w:rPr>
    </w:lvl>
    <w:lvl w:ilvl="8" w:tplc="BE08D9A0">
      <w:start w:val="1"/>
      <w:numFmt w:val="bullet"/>
      <w:lvlText w:val=""/>
      <w:lvlJc w:val="left"/>
      <w:pPr>
        <w:ind w:left="6480" w:hanging="360"/>
      </w:pPr>
      <w:rPr>
        <w:rFonts w:ascii="Wingdings" w:hAnsi="Wingdings" w:hint="default"/>
      </w:rPr>
    </w:lvl>
  </w:abstractNum>
  <w:abstractNum w:abstractNumId="2" w15:restartNumberingAfterBreak="0">
    <w:nsid w:val="46D81AF4"/>
    <w:multiLevelType w:val="hybridMultilevel"/>
    <w:tmpl w:val="4D06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626092">
    <w:abstractNumId w:val="1"/>
  </w:num>
  <w:num w:numId="2" w16cid:durableId="641933367">
    <w:abstractNumId w:val="0"/>
  </w:num>
  <w:num w:numId="3" w16cid:durableId="1243295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BC"/>
    <w:rsid w:val="00061C0E"/>
    <w:rsid w:val="000C1C9A"/>
    <w:rsid w:val="00121F27"/>
    <w:rsid w:val="00152B15"/>
    <w:rsid w:val="001C4C6D"/>
    <w:rsid w:val="00264766"/>
    <w:rsid w:val="002864AA"/>
    <w:rsid w:val="002B441E"/>
    <w:rsid w:val="002E61DB"/>
    <w:rsid w:val="00382DE5"/>
    <w:rsid w:val="003E483A"/>
    <w:rsid w:val="004B1B2F"/>
    <w:rsid w:val="004F3798"/>
    <w:rsid w:val="005A2FC3"/>
    <w:rsid w:val="005E31BC"/>
    <w:rsid w:val="006318F4"/>
    <w:rsid w:val="006B7DEC"/>
    <w:rsid w:val="006C66B8"/>
    <w:rsid w:val="006E76B5"/>
    <w:rsid w:val="00705D28"/>
    <w:rsid w:val="00741BF5"/>
    <w:rsid w:val="007E2940"/>
    <w:rsid w:val="00842419"/>
    <w:rsid w:val="0084584F"/>
    <w:rsid w:val="008A0A67"/>
    <w:rsid w:val="008A3872"/>
    <w:rsid w:val="00A1688F"/>
    <w:rsid w:val="00A90034"/>
    <w:rsid w:val="00B568FD"/>
    <w:rsid w:val="00B56AF0"/>
    <w:rsid w:val="00B67360"/>
    <w:rsid w:val="00B968B4"/>
    <w:rsid w:val="00BE2749"/>
    <w:rsid w:val="00BE396A"/>
    <w:rsid w:val="00C90453"/>
    <w:rsid w:val="00CA39D8"/>
    <w:rsid w:val="00CF78E5"/>
    <w:rsid w:val="00D31D8E"/>
    <w:rsid w:val="00D66912"/>
    <w:rsid w:val="00EB3626"/>
    <w:rsid w:val="00EC17BE"/>
    <w:rsid w:val="00F67AB2"/>
    <w:rsid w:val="00FF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B37AD"/>
  <w15:chartTrackingRefBased/>
  <w15:docId w15:val="{DE66F993-51BD-4195-A826-E22ABE59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1BC"/>
    <w:pPr>
      <w:spacing w:after="0" w:line="240" w:lineRule="auto"/>
    </w:pPr>
    <w:rPr>
      <w:kern w:val="0"/>
      <w14:ligatures w14:val="none"/>
    </w:rPr>
  </w:style>
  <w:style w:type="paragraph" w:styleId="Heading1">
    <w:name w:val="heading 1"/>
    <w:basedOn w:val="Normal"/>
    <w:next w:val="Normal"/>
    <w:link w:val="Heading1Char"/>
    <w:uiPriority w:val="9"/>
    <w:qFormat/>
    <w:rsid w:val="005E3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1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1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1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1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1BC"/>
    <w:rPr>
      <w:rFonts w:eastAsiaTheme="majorEastAsia" w:cstheme="majorBidi"/>
      <w:color w:val="272727" w:themeColor="text1" w:themeTint="D8"/>
    </w:rPr>
  </w:style>
  <w:style w:type="paragraph" w:styleId="Title">
    <w:name w:val="Title"/>
    <w:basedOn w:val="Normal"/>
    <w:next w:val="Normal"/>
    <w:link w:val="TitleChar"/>
    <w:uiPriority w:val="10"/>
    <w:qFormat/>
    <w:rsid w:val="005E31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1BC"/>
    <w:pPr>
      <w:spacing w:before="160"/>
      <w:jc w:val="center"/>
    </w:pPr>
    <w:rPr>
      <w:i/>
      <w:iCs/>
      <w:color w:val="404040" w:themeColor="text1" w:themeTint="BF"/>
    </w:rPr>
  </w:style>
  <w:style w:type="character" w:customStyle="1" w:styleId="QuoteChar">
    <w:name w:val="Quote Char"/>
    <w:basedOn w:val="DefaultParagraphFont"/>
    <w:link w:val="Quote"/>
    <w:uiPriority w:val="29"/>
    <w:rsid w:val="005E31BC"/>
    <w:rPr>
      <w:i/>
      <w:iCs/>
      <w:color w:val="404040" w:themeColor="text1" w:themeTint="BF"/>
    </w:rPr>
  </w:style>
  <w:style w:type="paragraph" w:styleId="ListParagraph">
    <w:name w:val="List Paragraph"/>
    <w:basedOn w:val="Normal"/>
    <w:uiPriority w:val="34"/>
    <w:qFormat/>
    <w:rsid w:val="005E31BC"/>
    <w:pPr>
      <w:ind w:left="720"/>
      <w:contextualSpacing/>
    </w:pPr>
  </w:style>
  <w:style w:type="character" w:styleId="IntenseEmphasis">
    <w:name w:val="Intense Emphasis"/>
    <w:basedOn w:val="DefaultParagraphFont"/>
    <w:uiPriority w:val="21"/>
    <w:qFormat/>
    <w:rsid w:val="005E31BC"/>
    <w:rPr>
      <w:i/>
      <w:iCs/>
      <w:color w:val="0F4761" w:themeColor="accent1" w:themeShade="BF"/>
    </w:rPr>
  </w:style>
  <w:style w:type="paragraph" w:styleId="IntenseQuote">
    <w:name w:val="Intense Quote"/>
    <w:basedOn w:val="Normal"/>
    <w:next w:val="Normal"/>
    <w:link w:val="IntenseQuoteChar"/>
    <w:uiPriority w:val="30"/>
    <w:qFormat/>
    <w:rsid w:val="005E3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1BC"/>
    <w:rPr>
      <w:i/>
      <w:iCs/>
      <w:color w:val="0F4761" w:themeColor="accent1" w:themeShade="BF"/>
    </w:rPr>
  </w:style>
  <w:style w:type="character" w:styleId="IntenseReference">
    <w:name w:val="Intense Reference"/>
    <w:basedOn w:val="DefaultParagraphFont"/>
    <w:uiPriority w:val="32"/>
    <w:qFormat/>
    <w:rsid w:val="005E31BC"/>
    <w:rPr>
      <w:b/>
      <w:bCs/>
      <w:smallCaps/>
      <w:color w:val="0F4761" w:themeColor="accent1" w:themeShade="BF"/>
      <w:spacing w:val="5"/>
    </w:rPr>
  </w:style>
  <w:style w:type="paragraph" w:styleId="BodyText">
    <w:name w:val="Body Text"/>
    <w:basedOn w:val="Normal"/>
    <w:link w:val="BodyTextChar"/>
    <w:uiPriority w:val="1"/>
    <w:qFormat/>
    <w:rsid w:val="005E31BC"/>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5E31BC"/>
    <w:rPr>
      <w:rFonts w:ascii="Arial" w:eastAsia="Arial" w:hAnsi="Arial" w:cs="Arial"/>
      <w:kern w:val="0"/>
      <w:sz w:val="20"/>
      <w:szCs w:val="20"/>
      <w14:ligatures w14:val="none"/>
    </w:rPr>
  </w:style>
  <w:style w:type="character" w:styleId="Hyperlink">
    <w:name w:val="Hyperlink"/>
    <w:basedOn w:val="DefaultParagraphFont"/>
    <w:uiPriority w:val="99"/>
    <w:unhideWhenUsed/>
    <w:rsid w:val="005E31BC"/>
    <w:rPr>
      <w:color w:val="467886" w:themeColor="hyperlink"/>
      <w:u w:val="single"/>
    </w:rPr>
  </w:style>
  <w:style w:type="paragraph" w:styleId="NoSpacing">
    <w:name w:val="No Spacing"/>
    <w:uiPriority w:val="1"/>
    <w:qFormat/>
    <w:rsid w:val="005E31BC"/>
    <w:pPr>
      <w:widowControl w:val="0"/>
      <w:autoSpaceDE w:val="0"/>
      <w:autoSpaceDN w:val="0"/>
      <w:adjustRightInd w:val="0"/>
      <w:spacing w:after="0" w:line="240" w:lineRule="auto"/>
    </w:pPr>
    <w:rPr>
      <w:rFonts w:ascii="Z@RAA3C.tmp" w:eastAsiaTheme="minorEastAsia" w:hAnsi="Z@RAA3C.tmp" w:cs="Z@RAA3C.tmp"/>
      <w:kern w:val="0"/>
      <w:sz w:val="22"/>
      <w:szCs w:val="22"/>
    </w:rPr>
  </w:style>
  <w:style w:type="paragraph" w:styleId="Header">
    <w:name w:val="header"/>
    <w:basedOn w:val="Normal"/>
    <w:link w:val="HeaderChar"/>
    <w:uiPriority w:val="99"/>
    <w:unhideWhenUsed/>
    <w:rsid w:val="00B56AF0"/>
    <w:pPr>
      <w:tabs>
        <w:tab w:val="center" w:pos="4680"/>
        <w:tab w:val="right" w:pos="9360"/>
      </w:tabs>
    </w:pPr>
  </w:style>
  <w:style w:type="character" w:customStyle="1" w:styleId="HeaderChar">
    <w:name w:val="Header Char"/>
    <w:basedOn w:val="DefaultParagraphFont"/>
    <w:link w:val="Header"/>
    <w:uiPriority w:val="99"/>
    <w:rsid w:val="00B56AF0"/>
    <w:rPr>
      <w:kern w:val="0"/>
      <w14:ligatures w14:val="none"/>
    </w:rPr>
  </w:style>
  <w:style w:type="paragraph" w:styleId="Footer">
    <w:name w:val="footer"/>
    <w:basedOn w:val="Normal"/>
    <w:link w:val="FooterChar"/>
    <w:uiPriority w:val="99"/>
    <w:unhideWhenUsed/>
    <w:rsid w:val="00B56AF0"/>
    <w:pPr>
      <w:tabs>
        <w:tab w:val="center" w:pos="4680"/>
        <w:tab w:val="right" w:pos="9360"/>
      </w:tabs>
    </w:pPr>
  </w:style>
  <w:style w:type="character" w:customStyle="1" w:styleId="FooterChar">
    <w:name w:val="Footer Char"/>
    <w:basedOn w:val="DefaultParagraphFont"/>
    <w:link w:val="Footer"/>
    <w:uiPriority w:val="99"/>
    <w:rsid w:val="00B56A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tammanyedc.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ttammanyedc.org/the-analy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durand@sttammanyed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7ad190-6bbe-4e94-9569-dbba768324c7" xsi:nil="true"/>
    <lcf76f155ced4ddcb4097134ff3c332f xmlns="0ab44fda-4426-4dc5-a397-004c515048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F1200A56FA04D9CA7260C3DAE9641" ma:contentTypeVersion="18" ma:contentTypeDescription="Create a new document." ma:contentTypeScope="" ma:versionID="263f070630f847b7e19bda08ce20574b">
  <xsd:schema xmlns:xsd="http://www.w3.org/2001/XMLSchema" xmlns:xs="http://www.w3.org/2001/XMLSchema" xmlns:p="http://schemas.microsoft.com/office/2006/metadata/properties" xmlns:ns2="d67ad190-6bbe-4e94-9569-dbba768324c7" xmlns:ns3="0ab44fda-4426-4dc5-a397-004c5150484c" targetNamespace="http://schemas.microsoft.com/office/2006/metadata/properties" ma:root="true" ma:fieldsID="35284e31f13857892984dd3aa8ea4852" ns2:_="" ns3:_="">
    <xsd:import namespace="d67ad190-6bbe-4e94-9569-dbba768324c7"/>
    <xsd:import namespace="0ab44fda-4426-4dc5-a397-004c51504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ad190-6bbe-4e94-9569-dbba768324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2c0e88-acf3-401e-bf55-f6de4463b3ac}" ma:internalName="TaxCatchAll" ma:showField="CatchAllData" ma:web="d67ad190-6bbe-4e94-9569-dbba768324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b44fda-4426-4dc5-a397-004c51504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60a2ec-6590-40b4-b016-b3cbf0d535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66FA6-798C-4233-88B7-4DC765403ED3}">
  <ds:schemaRefs>
    <ds:schemaRef ds:uri="http://schemas.microsoft.com/sharepoint/v3/contenttype/forms"/>
  </ds:schemaRefs>
</ds:datastoreItem>
</file>

<file path=customXml/itemProps2.xml><?xml version="1.0" encoding="utf-8"?>
<ds:datastoreItem xmlns:ds="http://schemas.openxmlformats.org/officeDocument/2006/customXml" ds:itemID="{6A89FBEF-55B7-414B-ADFF-8F5AC5413545}">
  <ds:schemaRefs>
    <ds:schemaRef ds:uri="http://schemas.microsoft.com/office/2006/metadata/properties"/>
    <ds:schemaRef ds:uri="http://schemas.microsoft.com/office/infopath/2007/PartnerControls"/>
    <ds:schemaRef ds:uri="d67ad190-6bbe-4e94-9569-dbba768324c7"/>
    <ds:schemaRef ds:uri="0ab44fda-4426-4dc5-a397-004c5150484c"/>
  </ds:schemaRefs>
</ds:datastoreItem>
</file>

<file path=customXml/itemProps3.xml><?xml version="1.0" encoding="utf-8"?>
<ds:datastoreItem xmlns:ds="http://schemas.openxmlformats.org/officeDocument/2006/customXml" ds:itemID="{67E34B16-3FBA-4164-8FF0-B4051D46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ad190-6bbe-4e94-9569-dbba768324c7"/>
    <ds:schemaRef ds:uri="0ab44fda-4426-4dc5-a397-004c51504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Durand</dc:creator>
  <cp:keywords/>
  <dc:description/>
  <cp:lastModifiedBy>Kristin Durand</cp:lastModifiedBy>
  <cp:revision>25</cp:revision>
  <dcterms:created xsi:type="dcterms:W3CDTF">2025-05-28T16:14:00Z</dcterms:created>
  <dcterms:modified xsi:type="dcterms:W3CDTF">2025-06-12T14:29:00Z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0x010100696F1200A56FA04D9CA7260C3DAE9641</vt:lpwstr>
  </property>
  <property fmtid="{D5CDD505-2E9C-101B-9397-08002B2CF9AE}" pid="3" name="MediaServiceImageTags">
    <vt:lpwstr/>
  </property>
</Properties>
</file>